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DCFF1">
      <w:pPr>
        <w:pStyle w:val="81"/>
        <w:keepNext w:val="0"/>
        <w:keepLines w:val="0"/>
        <w:widowControl/>
        <w:suppressLineNumbers w:val="0"/>
        <w:jc w:val="center"/>
        <w:rPr>
          <w:rFonts w:asciiTheme="minorHAnsi" w:hAnsiTheme="minorHAnsi" w:eastAsiaTheme="minorEastAsia" w:cstheme="minorBidi"/>
          <w:b/>
          <w:kern w:val="44"/>
          <w:sz w:val="44"/>
          <w:szCs w:val="44"/>
          <w:lang w:val="en-US" w:eastAsia="zh-CN" w:bidi="ar-SA"/>
        </w:rPr>
      </w:pPr>
    </w:p>
    <w:p w14:paraId="439A6033">
      <w:pPr>
        <w:pStyle w:val="81"/>
        <w:keepNext w:val="0"/>
        <w:keepLines w:val="0"/>
        <w:widowControl/>
        <w:suppressLineNumbers w:val="0"/>
        <w:jc w:val="center"/>
        <w:rPr>
          <w:rFonts w:asciiTheme="minorHAnsi" w:hAnsiTheme="minorHAnsi" w:eastAsiaTheme="minorEastAsia" w:cstheme="minorBidi"/>
          <w:b/>
          <w:kern w:val="44"/>
          <w:sz w:val="44"/>
          <w:szCs w:val="44"/>
          <w:lang w:val="en-US" w:eastAsia="zh-CN" w:bidi="ar-SA"/>
        </w:rPr>
      </w:pPr>
      <w:r>
        <w:rPr>
          <w:rFonts w:asciiTheme="minorHAnsi" w:hAnsiTheme="minorHAnsi" w:eastAsiaTheme="minorEastAsia" w:cstheme="minorBidi"/>
          <w:b/>
          <w:kern w:val="44"/>
          <w:sz w:val="44"/>
          <w:szCs w:val="44"/>
          <w:lang w:val="en-US" w:eastAsia="zh-CN" w:bidi="ar-SA"/>
        </w:rPr>
        <w:t>Handheld FPV Jammer</w:t>
      </w:r>
    </w:p>
    <w:p w14:paraId="6E3B47B1">
      <w:pPr>
        <w:pStyle w:val="3"/>
        <w:bidi w:val="0"/>
        <w:jc w:val="center"/>
        <w:rPr>
          <w:rFonts w:hint="eastAsia"/>
          <w:sz w:val="28"/>
          <w:szCs w:val="28"/>
          <w:lang w:val="en-US" w:eastAsia="zh-CN"/>
        </w:rPr>
      </w:pPr>
      <w:r>
        <w:rPr>
          <w:rFonts w:hint="eastAsia"/>
          <w:sz w:val="28"/>
          <w:szCs w:val="28"/>
          <w:lang w:val="en-US" w:eastAsia="zh-CN"/>
        </w:rPr>
        <w:t>Model No: TTSKF08</w:t>
      </w:r>
    </w:p>
    <w:p w14:paraId="6CD5B03A">
      <w:pPr>
        <w:pStyle w:val="5"/>
        <w:keepNext w:val="0"/>
        <w:keepLines w:val="0"/>
        <w:widowControl/>
        <w:numPr>
          <w:ilvl w:val="0"/>
          <w:numId w:val="11"/>
        </w:numPr>
        <w:suppressLineNumbers w:val="0"/>
        <w:ind w:left="425" w:leftChars="0" w:hanging="425" w:firstLineChars="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Product Overview</w:t>
      </w:r>
    </w:p>
    <w:p w14:paraId="37F2DB87">
      <w:pPr>
        <w:pStyle w:val="81"/>
        <w:keepNext w:val="0"/>
        <w:keepLines w:val="0"/>
        <w:widowControl/>
        <w:numPr>
          <w:ilvl w:val="0"/>
          <w:numId w:val="12"/>
        </w:numPr>
        <w:suppressLineNumbers w:val="0"/>
        <w:ind w:left="425" w:leftChars="0" w:hanging="425" w:firstLineChars="0"/>
      </w:pPr>
      <w:r>
        <w:rPr>
          <w:rStyle w:val="91"/>
        </w:rPr>
        <w:t>Efficient Jamming</w:t>
      </w:r>
      <w:r>
        <w:t>: Adopts advanced signal interference technology to transmit jamming signals on the same frequencies as FPV drone communications, effectively disrupting their communication and navigation functions, causing loss of control or flight failure.</w:t>
      </w:r>
    </w:p>
    <w:p w14:paraId="6901E5C9">
      <w:pPr>
        <w:pStyle w:val="81"/>
        <w:keepNext w:val="0"/>
        <w:keepLines w:val="0"/>
        <w:widowControl/>
        <w:numPr>
          <w:ilvl w:val="0"/>
          <w:numId w:val="12"/>
        </w:numPr>
        <w:suppressLineNumbers w:val="0"/>
        <w:ind w:left="425" w:leftChars="0" w:hanging="425" w:firstLineChars="0"/>
      </w:pPr>
      <w:r>
        <w:rPr>
          <w:rStyle w:val="91"/>
        </w:rPr>
        <w:t>Portable and Easy Operation</w:t>
      </w:r>
      <w:r>
        <w:t>: Compact design and lightweight, easy to carry and operate. One-button activation makes it user-friendly.</w:t>
      </w:r>
    </w:p>
    <w:p w14:paraId="6DA09336">
      <w:pPr>
        <w:pStyle w:val="81"/>
        <w:keepNext w:val="0"/>
        <w:keepLines w:val="0"/>
        <w:widowControl/>
        <w:numPr>
          <w:ilvl w:val="0"/>
          <w:numId w:val="12"/>
        </w:numPr>
        <w:suppressLineNumbers w:val="0"/>
        <w:ind w:left="425" w:leftChars="0" w:hanging="425" w:firstLineChars="0"/>
      </w:pPr>
      <w:r>
        <w:rPr>
          <w:rStyle w:val="91"/>
        </w:rPr>
        <w:t>Battery Level Display</w:t>
      </w:r>
      <w:r>
        <w:t>: Clear indication of power level ensures reliable operation during critical moments.</w:t>
      </w:r>
    </w:p>
    <w:p w14:paraId="059C0AF4">
      <w:pPr>
        <w:pStyle w:val="81"/>
        <w:keepNext w:val="0"/>
        <w:keepLines w:val="0"/>
        <w:widowControl/>
        <w:numPr>
          <w:ilvl w:val="0"/>
          <w:numId w:val="12"/>
        </w:numPr>
        <w:suppressLineNumbers w:val="0"/>
        <w:ind w:left="425" w:leftChars="0" w:hanging="425" w:firstLineChars="0"/>
      </w:pPr>
      <w:r>
        <w:rPr>
          <w:rStyle w:val="91"/>
        </w:rPr>
        <w:t>Multi-Frequency Coverage</w:t>
      </w:r>
      <w:r>
        <w:t>: Customizable according to customer requirements.</w:t>
      </w:r>
    </w:p>
    <w:p w14:paraId="20404633">
      <w:pPr>
        <w:pStyle w:val="81"/>
        <w:keepNext w:val="0"/>
        <w:keepLines w:val="0"/>
        <w:widowControl/>
        <w:numPr>
          <w:ilvl w:val="0"/>
          <w:numId w:val="12"/>
        </w:numPr>
        <w:suppressLineNumbers w:val="0"/>
        <w:ind w:left="425" w:leftChars="0" w:hanging="425" w:firstLineChars="0"/>
      </w:pPr>
      <w:r>
        <w:rPr>
          <w:rStyle w:val="91"/>
        </w:rPr>
        <w:t>Full Aluminum Housing</w:t>
      </w:r>
      <w:r>
        <w:t>: Built-in 24V CPU cooling fan and aluminum casing enhance heat dissipation and system stability.</w:t>
      </w:r>
    </w:p>
    <w:p w14:paraId="679384B8">
      <w:pPr>
        <w:pStyle w:val="81"/>
        <w:keepNext w:val="0"/>
        <w:keepLines w:val="0"/>
        <w:widowControl/>
        <w:numPr>
          <w:ilvl w:val="0"/>
          <w:numId w:val="12"/>
        </w:numPr>
        <w:suppressLineNumbers w:val="0"/>
        <w:ind w:left="425" w:leftChars="0" w:hanging="425" w:firstLineChars="0"/>
      </w:pPr>
      <w:bookmarkStart w:id="0" w:name="_GoBack"/>
      <w:bookmarkEnd w:id="0"/>
      <w:r>
        <w:rPr>
          <w:rStyle w:val="91"/>
        </w:rPr>
        <w:t>Enhanced Protection Mechanism</w:t>
      </w:r>
      <w:r>
        <w:t>: Integrated VSWR alarm, overcurrent alarm, and overtemperature protection for real-time monitoring of equipment anomalies.</w:t>
      </w:r>
    </w:p>
    <w:p w14:paraId="2F133191">
      <w:pPr>
        <w:pStyle w:val="5"/>
        <w:keepNext w:val="0"/>
        <w:keepLines w:val="0"/>
        <w:widowControl/>
        <w:suppressLineNumbers w:val="0"/>
      </w:pPr>
    </w:p>
    <w:p w14:paraId="14017EBE">
      <w:pPr>
        <w:pStyle w:val="5"/>
        <w:keepNext w:val="0"/>
        <w:keepLines w:val="0"/>
        <w:widowControl/>
        <w:numPr>
          <w:ilvl w:val="0"/>
          <w:numId w:val="11"/>
        </w:numPr>
        <w:suppressLineNumbers w:val="0"/>
        <w:ind w:left="425" w:leftChars="0" w:hanging="425" w:firstLineChars="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Technical Specifications</w:t>
      </w:r>
    </w:p>
    <w:tbl>
      <w:tblPr>
        <w:tblStyle w:val="88"/>
        <w:tblW w:w="0" w:type="auto"/>
        <w:tblCellSpacing w:w="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12"/>
        <w:gridCol w:w="5866"/>
      </w:tblGrid>
      <w:tr w14:paraId="5152D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Header/>
          <w:tblCellSpacing w:w="14" w:type="dxa"/>
        </w:trPr>
        <w:tc>
          <w:tcPr>
            <w:tcW w:w="0" w:type="auto"/>
            <w:shd w:val="clear" w:color="auto" w:fill="auto"/>
            <w:vAlign w:val="center"/>
          </w:tcPr>
          <w:p w14:paraId="4C889855">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Specification</w:t>
            </w:r>
          </w:p>
        </w:tc>
        <w:tc>
          <w:tcPr>
            <w:tcW w:w="0" w:type="auto"/>
            <w:shd w:val="clear" w:color="auto" w:fill="auto"/>
            <w:vAlign w:val="center"/>
          </w:tcPr>
          <w:p w14:paraId="15829FF5">
            <w:pPr>
              <w:keepNext w:val="0"/>
              <w:keepLines w:val="0"/>
              <w:widowControl/>
              <w:suppressLineNumbers w:val="0"/>
              <w:jc w:val="left"/>
              <w:rPr>
                <w:rFonts w:hint="default" w:eastAsia="宋体" w:cs="宋体" w:asciiTheme="minorAscii" w:hAnsiTheme="minorAscii"/>
                <w:b/>
                <w:bCs/>
                <w:kern w:val="0"/>
                <w:sz w:val="24"/>
                <w:szCs w:val="24"/>
                <w:lang w:val="en-US" w:eastAsia="zh-CN" w:bidi="ar"/>
              </w:rPr>
            </w:pPr>
            <w:r>
              <w:rPr>
                <w:rFonts w:hint="default" w:eastAsia="宋体" w:cs="宋体" w:asciiTheme="minorAscii" w:hAnsiTheme="minorAscii"/>
                <w:b/>
                <w:bCs/>
                <w:kern w:val="0"/>
                <w:sz w:val="24"/>
                <w:szCs w:val="24"/>
                <w:lang w:val="en-US" w:eastAsia="zh-CN" w:bidi="ar"/>
              </w:rPr>
              <w:t>Details</w:t>
            </w:r>
          </w:p>
        </w:tc>
      </w:tr>
      <w:tr w14:paraId="7CB9F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2CE918E2">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Frequency Bands</w:t>
            </w:r>
          </w:p>
        </w:tc>
        <w:tc>
          <w:tcPr>
            <w:tcW w:w="0" w:type="auto"/>
            <w:shd w:val="clear" w:color="auto" w:fill="auto"/>
            <w:vAlign w:val="center"/>
          </w:tcPr>
          <w:p w14:paraId="16FB9962">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720–850 / 850–930 / 930–1100 / 700–1000 / 2.4GHz / 5.8GHz (optional)</w:t>
            </w:r>
          </w:p>
        </w:tc>
      </w:tr>
      <w:tr w14:paraId="070DC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714D023D">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Total RF Output Power</w:t>
            </w:r>
          </w:p>
        </w:tc>
        <w:tc>
          <w:tcPr>
            <w:tcW w:w="0" w:type="auto"/>
            <w:shd w:val="clear" w:color="auto" w:fill="auto"/>
            <w:vAlign w:val="center"/>
          </w:tcPr>
          <w:p w14:paraId="46E78EF7">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40W (One band) / 60W (Two bands)</w:t>
            </w:r>
          </w:p>
        </w:tc>
      </w:tr>
      <w:tr w14:paraId="2085F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7BF94B4C">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Number of Jamming Modules</w:t>
            </w:r>
          </w:p>
        </w:tc>
        <w:tc>
          <w:tcPr>
            <w:tcW w:w="0" w:type="auto"/>
            <w:shd w:val="clear" w:color="auto" w:fill="auto"/>
            <w:vAlign w:val="center"/>
          </w:tcPr>
          <w:p w14:paraId="20DCD450">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1–2</w:t>
            </w:r>
          </w:p>
        </w:tc>
      </w:tr>
      <w:tr w14:paraId="79DE7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724DF44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Protection System</w:t>
            </w:r>
          </w:p>
        </w:tc>
        <w:tc>
          <w:tcPr>
            <w:tcW w:w="0" w:type="auto"/>
            <w:shd w:val="clear" w:color="auto" w:fill="auto"/>
            <w:vAlign w:val="center"/>
          </w:tcPr>
          <w:p w14:paraId="6D2201D3">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VSWR alarm, overcurrent alarm, overtemperature protection</w:t>
            </w:r>
          </w:p>
        </w:tc>
      </w:tr>
      <w:tr w14:paraId="7ACBD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blCellSpacing w:w="14" w:type="dxa"/>
        </w:trPr>
        <w:tc>
          <w:tcPr>
            <w:tcW w:w="0" w:type="auto"/>
            <w:shd w:val="clear" w:color="auto" w:fill="auto"/>
            <w:vAlign w:val="center"/>
          </w:tcPr>
          <w:p w14:paraId="32AC0466">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Jamming Source</w:t>
            </w:r>
          </w:p>
        </w:tc>
        <w:tc>
          <w:tcPr>
            <w:tcW w:w="0" w:type="auto"/>
            <w:shd w:val="clear" w:color="auto" w:fill="auto"/>
            <w:vAlign w:val="center"/>
          </w:tcPr>
          <w:p w14:paraId="48D33F05">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Analog signal synthesis technology</w:t>
            </w:r>
          </w:p>
        </w:tc>
      </w:tr>
      <w:tr w14:paraId="1D5DC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blCellSpacing w:w="14" w:type="dxa"/>
        </w:trPr>
        <w:tc>
          <w:tcPr>
            <w:tcW w:w="0" w:type="auto"/>
            <w:shd w:val="clear" w:color="auto" w:fill="auto"/>
            <w:vAlign w:val="center"/>
          </w:tcPr>
          <w:p w14:paraId="2DD87E1F">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Antenna Type</w:t>
            </w:r>
          </w:p>
        </w:tc>
        <w:tc>
          <w:tcPr>
            <w:tcW w:w="0" w:type="auto"/>
            <w:shd w:val="clear" w:color="auto" w:fill="auto"/>
            <w:vAlign w:val="center"/>
          </w:tcPr>
          <w:p w14:paraId="5D3FDBF1">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Omnidirectional antenna</w:t>
            </w:r>
          </w:p>
        </w:tc>
      </w:tr>
      <w:tr w14:paraId="6E534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blCellSpacing w:w="14" w:type="dxa"/>
        </w:trPr>
        <w:tc>
          <w:tcPr>
            <w:tcW w:w="0" w:type="auto"/>
            <w:shd w:val="clear" w:color="auto" w:fill="auto"/>
            <w:vAlign w:val="center"/>
          </w:tcPr>
          <w:p w14:paraId="34EAA1DB">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Number of Antennas</w:t>
            </w:r>
          </w:p>
        </w:tc>
        <w:tc>
          <w:tcPr>
            <w:tcW w:w="0" w:type="auto"/>
            <w:shd w:val="clear" w:color="auto" w:fill="auto"/>
            <w:vAlign w:val="center"/>
          </w:tcPr>
          <w:p w14:paraId="15E0E449">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1–2</w:t>
            </w:r>
          </w:p>
        </w:tc>
      </w:tr>
      <w:tr w14:paraId="0A761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1DF7EC68">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Battery Capacity</w:t>
            </w:r>
          </w:p>
        </w:tc>
        <w:tc>
          <w:tcPr>
            <w:tcW w:w="0" w:type="auto"/>
            <w:shd w:val="clear" w:color="auto" w:fill="auto"/>
            <w:vAlign w:val="center"/>
          </w:tcPr>
          <w:p w14:paraId="4FB63D38">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24V / 3.2Ah</w:t>
            </w:r>
          </w:p>
        </w:tc>
      </w:tr>
      <w:tr w14:paraId="001EE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102B3B25">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Device Dimensions</w:t>
            </w:r>
          </w:p>
        </w:tc>
        <w:tc>
          <w:tcPr>
            <w:tcW w:w="0" w:type="auto"/>
            <w:shd w:val="clear" w:color="auto" w:fill="auto"/>
            <w:vAlign w:val="center"/>
          </w:tcPr>
          <w:p w14:paraId="0DBCDA5A">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200 × 85 × 42 mm</w:t>
            </w:r>
          </w:p>
        </w:tc>
      </w:tr>
      <w:tr w14:paraId="61A07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606E6994">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System Weight</w:t>
            </w:r>
          </w:p>
        </w:tc>
        <w:tc>
          <w:tcPr>
            <w:tcW w:w="0" w:type="auto"/>
            <w:shd w:val="clear" w:color="auto" w:fill="auto"/>
            <w:vAlign w:val="center"/>
          </w:tcPr>
          <w:p w14:paraId="66C47A1E">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Approx. 1.2 kg (main unit without antenna)</w:t>
            </w:r>
          </w:p>
        </w:tc>
      </w:tr>
      <w:tr w14:paraId="1B7F6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blCellSpacing w:w="14" w:type="dxa"/>
        </w:trPr>
        <w:tc>
          <w:tcPr>
            <w:tcW w:w="0" w:type="auto"/>
            <w:shd w:val="clear" w:color="auto" w:fill="auto"/>
            <w:vAlign w:val="center"/>
          </w:tcPr>
          <w:p w14:paraId="4E769ADB">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Operating Temperature</w:t>
            </w:r>
          </w:p>
        </w:tc>
        <w:tc>
          <w:tcPr>
            <w:tcW w:w="0" w:type="auto"/>
            <w:shd w:val="clear" w:color="auto" w:fill="auto"/>
            <w:vAlign w:val="center"/>
          </w:tcPr>
          <w:p w14:paraId="052E30B7">
            <w:pPr>
              <w:keepNext w:val="0"/>
              <w:keepLines w:val="0"/>
              <w:widowControl/>
              <w:suppressLineNumbers w:val="0"/>
              <w:jc w:val="left"/>
              <w:rPr>
                <w:rFonts w:hint="default" w:eastAsia="宋体" w:cs="宋体" w:asciiTheme="minorAscii" w:hAnsiTheme="minorAscii"/>
                <w:kern w:val="0"/>
                <w:sz w:val="24"/>
                <w:szCs w:val="24"/>
                <w:lang w:val="en-US" w:eastAsia="zh-CN" w:bidi="ar"/>
              </w:rPr>
            </w:pPr>
            <w:r>
              <w:rPr>
                <w:rFonts w:hint="default" w:eastAsia="宋体" w:cs="宋体" w:asciiTheme="minorAscii" w:hAnsiTheme="minorAscii"/>
                <w:kern w:val="0"/>
                <w:sz w:val="24"/>
                <w:szCs w:val="24"/>
                <w:lang w:val="en-US" w:eastAsia="zh-CN" w:bidi="ar"/>
              </w:rPr>
              <w:t>-30°C to +70°C</w:t>
            </w:r>
          </w:p>
        </w:tc>
      </w:tr>
    </w:tbl>
    <w:p w14:paraId="3177D034">
      <w:pPr>
        <w:pStyle w:val="5"/>
        <w:keepNext w:val="0"/>
        <w:keepLines w:val="0"/>
        <w:widowControl/>
        <w:suppressLineNumbers w:val="0"/>
        <w:rPr>
          <w:sz w:val="24"/>
          <w:szCs w:val="24"/>
        </w:rPr>
      </w:pPr>
      <w:r>
        <w:rPr>
          <w:sz w:val="24"/>
          <w:szCs w:val="24"/>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26F04070">
      <w:pPr>
        <w:pStyle w:val="5"/>
        <w:keepNext w:val="0"/>
        <w:keepLines w:val="0"/>
        <w:widowControl/>
        <w:suppressLineNumbers w:val="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Note</w:t>
      </w:r>
    </w:p>
    <w:p w14:paraId="264A6370">
      <w:pPr>
        <w:pStyle w:val="81"/>
        <w:keepNext w:val="0"/>
        <w:keepLines w:val="0"/>
        <w:widowControl/>
        <w:suppressLineNumbers w:val="0"/>
      </w:pPr>
      <w:r>
        <w:t>The product must use short-circuit structured antennas. Otherwise, the device will not operate.</w:t>
      </w:r>
    </w:p>
    <w:p w14:paraId="66DF1C1D">
      <w:pPr>
        <w:pStyle w:val="5"/>
        <w:keepNext w:val="0"/>
        <w:keepLines w:val="0"/>
        <w:widowControl/>
        <w:suppressLineNumbers w:val="0"/>
        <w:rPr>
          <w:rFonts w:hint="default" w:asciiTheme="minorAscii" w:hAnsiTheme="minorAscii" w:eastAsiaTheme="majorEastAsia" w:cstheme="majorEastAsia"/>
          <w:b/>
          <w:bCs/>
          <w:color w:val="2E54A1" w:themeColor="accent1" w:themeShade="BF"/>
          <w:kern w:val="2"/>
          <w:sz w:val="32"/>
          <w:szCs w:val="32"/>
          <w:lang w:val="en-US" w:eastAsia="zh-CN" w:bidi="ar-SA"/>
        </w:rPr>
      </w:pPr>
    </w:p>
    <w:p w14:paraId="049C638C">
      <w:pPr>
        <w:pStyle w:val="5"/>
        <w:keepNext w:val="0"/>
        <w:keepLines w:val="0"/>
        <w:widowControl/>
        <w:numPr>
          <w:ilvl w:val="0"/>
          <w:numId w:val="11"/>
        </w:numPr>
        <w:suppressLineNumbers w:val="0"/>
        <w:ind w:left="425" w:leftChars="0" w:hanging="425" w:firstLineChars="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Operating Instructions</w:t>
      </w:r>
    </w:p>
    <w:p w14:paraId="18C300BD">
      <w:pPr>
        <w:pStyle w:val="81"/>
        <w:keepNext w:val="0"/>
        <w:keepLines w:val="0"/>
        <w:widowControl/>
        <w:suppressLineNumbers w:val="0"/>
      </w:pPr>
      <w:r>
        <w:drawing>
          <wp:inline distT="0" distB="0" distL="114300" distR="114300">
            <wp:extent cx="5270500" cy="1657350"/>
            <wp:effectExtent l="0" t="0" r="6350" b="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6"/>
                    <a:stretch>
                      <a:fillRect/>
                    </a:stretch>
                  </pic:blipFill>
                  <pic:spPr>
                    <a:xfrm>
                      <a:off x="0" y="0"/>
                      <a:ext cx="5270500" cy="1657350"/>
                    </a:xfrm>
                    <a:prstGeom prst="rect">
                      <a:avLst/>
                    </a:prstGeom>
                    <a:noFill/>
                    <a:ln>
                      <a:noFill/>
                    </a:ln>
                  </pic:spPr>
                </pic:pic>
              </a:graphicData>
            </a:graphic>
          </wp:inline>
        </w:drawing>
      </w:r>
    </w:p>
    <w:p w14:paraId="776FB4F5">
      <w:pPr>
        <w:bidi w:val="0"/>
        <w:rPr>
          <w:rFonts w:hint="eastAsia"/>
          <w:b/>
          <w:bCs/>
          <w:color w:val="2E54A1" w:themeColor="accent1" w:themeShade="BF"/>
          <w:sz w:val="28"/>
          <w:szCs w:val="28"/>
        </w:rPr>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0F8A7F89">
      <w:pPr>
        <w:pStyle w:val="5"/>
        <w:keepNext w:val="0"/>
        <w:keepLines w:val="0"/>
        <w:widowControl/>
        <w:suppressLineNumbers w:val="0"/>
        <w:rPr>
          <w:rFonts w:hint="default" w:asciiTheme="minorAscii" w:hAnsiTheme="minorAscii" w:eastAsiaTheme="majorEastAsia" w:cstheme="majorEastAsia"/>
          <w:b/>
          <w:bCs/>
          <w:color w:val="2E54A1" w:themeColor="accent1" w:themeShade="BF"/>
          <w:kern w:val="2"/>
          <w:sz w:val="32"/>
          <w:szCs w:val="32"/>
          <w:lang w:val="en-US" w:eastAsia="zh-CN" w:bidi="ar-SA"/>
        </w:rPr>
      </w:pPr>
    </w:p>
    <w:p w14:paraId="3ABEFCB5">
      <w:pPr>
        <w:pStyle w:val="5"/>
        <w:keepNext w:val="0"/>
        <w:keepLines w:val="0"/>
        <w:widowControl/>
        <w:numPr>
          <w:ilvl w:val="0"/>
          <w:numId w:val="11"/>
        </w:numPr>
        <w:suppressLineNumbers w:val="0"/>
        <w:ind w:left="425" w:leftChars="0" w:hanging="425" w:firstLineChars="0"/>
        <w:rPr>
          <w:rFonts w:hint="default" w:asciiTheme="minorAscii" w:hAnsiTheme="minorAscii" w:eastAsiaTheme="majorEastAsia" w:cstheme="majorEastAsia"/>
          <w:b/>
          <w:bCs/>
          <w:color w:val="2E54A1" w:themeColor="accent1" w:themeShade="BF"/>
          <w:kern w:val="2"/>
          <w:sz w:val="32"/>
          <w:szCs w:val="32"/>
          <w:lang w:val="en-US" w:eastAsia="zh-CN" w:bidi="ar-SA"/>
        </w:rPr>
      </w:pPr>
      <w:r>
        <w:rPr>
          <w:rFonts w:hint="default" w:asciiTheme="minorAscii" w:hAnsiTheme="minorAscii" w:eastAsiaTheme="majorEastAsia" w:cstheme="majorEastAsia"/>
          <w:b/>
          <w:bCs/>
          <w:color w:val="2E54A1" w:themeColor="accent1" w:themeShade="BF"/>
          <w:kern w:val="2"/>
          <w:sz w:val="32"/>
          <w:szCs w:val="32"/>
          <w:lang w:val="en-US" w:eastAsia="zh-CN" w:bidi="ar-SA"/>
        </w:rPr>
        <w:t>Packing List</w:t>
      </w:r>
    </w:p>
    <w:p w14:paraId="2133DB45">
      <w:pPr>
        <w:pStyle w:val="81"/>
        <w:keepNext w:val="0"/>
        <w:keepLines w:val="0"/>
        <w:widowControl/>
        <w:suppressLineNumbers w:val="0"/>
      </w:pPr>
      <w:r>
        <w:t>Antennas (according to number of frequency bands)</w:t>
      </w:r>
    </w:p>
    <w:p w14:paraId="7708C967">
      <w:pPr>
        <w:pStyle w:val="81"/>
        <w:keepNext w:val="0"/>
        <w:keepLines w:val="0"/>
        <w:widowControl/>
        <w:suppressLineNumbers w:val="0"/>
      </w:pPr>
      <w:r>
        <w:t>Main Unit ×1</w:t>
      </w:r>
    </w:p>
    <w:p w14:paraId="2556C70D">
      <w:pPr>
        <w:pStyle w:val="81"/>
        <w:keepNext w:val="0"/>
        <w:keepLines w:val="0"/>
        <w:widowControl/>
        <w:suppressLineNumbers w:val="0"/>
      </w:pPr>
      <w:r>
        <w:t>24V Charger ×1</w:t>
      </w:r>
    </w:p>
    <w:p w14:paraId="635C1C16">
      <w:pPr>
        <w:pStyle w:val="81"/>
        <w:keepNext w:val="0"/>
        <w:keepLines w:val="0"/>
        <w:widowControl/>
        <w:suppressLineNumbers w:val="0"/>
      </w:pPr>
      <w:r>
        <w:t>Camouflage Carry Bag ×1</w:t>
      </w:r>
    </w:p>
    <w:p w14:paraId="4454CEFF"/>
    <w:p w14:paraId="695EFBD8">
      <w:pPr>
        <w:rPr>
          <w:rFonts w:hint="eastAsia" w:asciiTheme="majorEastAsia" w:hAnsiTheme="majorEastAsia" w:eastAsiaTheme="majorEastAsia" w:cstheme="majorEastAsia"/>
        </w:rPr>
      </w:pPr>
    </w:p>
    <w:p w14:paraId="21A0F665">
      <w:pPr>
        <w:keepNext w:val="0"/>
        <w:keepLines w:val="0"/>
        <w:widowControl/>
        <w:numPr>
          <w:ilvl w:val="0"/>
          <w:numId w:val="0"/>
        </w:numPr>
        <w:suppressLineNumbers w:val="0"/>
        <w:spacing w:before="0" w:beforeAutospacing="1" w:after="0" w:afterAutospacing="1"/>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宋体 CN SemiBold">
    <w:altName w:val="宋体"/>
    <w:panose1 w:val="020206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0288;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1">
    <w:nsid w:val="B2F38E8A"/>
    <w:multiLevelType w:val="singleLevel"/>
    <w:tmpl w:val="B2F38E8A"/>
    <w:lvl w:ilvl="0" w:tentative="0">
      <w:start w:val="1"/>
      <w:numFmt w:val="decimal"/>
      <w:lvlText w:val="(%1)"/>
      <w:lvlJc w:val="left"/>
      <w:pPr>
        <w:ind w:left="425" w:hanging="425"/>
      </w:pPr>
      <w:rPr>
        <w:rFonts w:hint="default"/>
      </w:rPr>
    </w:lvl>
  </w:abstractNum>
  <w:abstractNum w:abstractNumId="2">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3">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4">
    <w:nsid w:val="0BD4BE82"/>
    <w:multiLevelType w:val="singleLevel"/>
    <w:tmpl w:val="0BD4BE82"/>
    <w:lvl w:ilvl="0" w:tentative="0">
      <w:start w:val="1"/>
      <w:numFmt w:val="decimal"/>
      <w:lvlText w:val="%1."/>
      <w:lvlJc w:val="left"/>
      <w:pPr>
        <w:ind w:left="425" w:hanging="425"/>
      </w:pPr>
      <w:rPr>
        <w:rFonts w:hint="default"/>
      </w:rPr>
    </w:lvl>
  </w:abstractNum>
  <w:abstractNum w:abstractNumId="5">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6">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7">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8">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9">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0">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1">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5"/>
  </w:num>
  <w:num w:numId="2">
    <w:abstractNumId w:val="0"/>
  </w:num>
  <w:num w:numId="3">
    <w:abstractNumId w:val="6"/>
  </w:num>
  <w:num w:numId="4">
    <w:abstractNumId w:val="9"/>
  </w:num>
  <w:num w:numId="5">
    <w:abstractNumId w:val="11"/>
  </w:num>
  <w:num w:numId="6">
    <w:abstractNumId w:val="7"/>
  </w:num>
  <w:num w:numId="7">
    <w:abstractNumId w:val="10"/>
  </w:num>
  <w:num w:numId="8">
    <w:abstractNumId w:val="3"/>
  </w:num>
  <w:num w:numId="9">
    <w:abstractNumId w:val="2"/>
  </w:num>
  <w:num w:numId="10">
    <w:abstractNumId w:val="8"/>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187E0F97"/>
    <w:rsid w:val="1BBD2F92"/>
    <w:rsid w:val="216808DF"/>
    <w:rsid w:val="233C481F"/>
    <w:rsid w:val="26602252"/>
    <w:rsid w:val="29FD21F3"/>
    <w:rsid w:val="36257395"/>
    <w:rsid w:val="3772660A"/>
    <w:rsid w:val="3A43428E"/>
    <w:rsid w:val="4345786D"/>
    <w:rsid w:val="4754708C"/>
    <w:rsid w:val="48DD685E"/>
    <w:rsid w:val="4E9272ED"/>
    <w:rsid w:val="515D3A2F"/>
    <w:rsid w:val="52B23907"/>
    <w:rsid w:val="57711FE2"/>
    <w:rsid w:val="630C7063"/>
    <w:rsid w:val="67896ED4"/>
    <w:rsid w:val="6A136F29"/>
    <w:rsid w:val="6E2C680B"/>
    <w:rsid w:val="6FAD25B1"/>
    <w:rsid w:val="721169B3"/>
    <w:rsid w:val="76544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basedOn w:val="90"/>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232</Words>
  <Characters>1480</Characters>
  <Lines>0</Lines>
  <Paragraphs>0</Paragraphs>
  <TotalTime>1</TotalTime>
  <ScaleCrop>false</ScaleCrop>
  <LinksUpToDate>false</LinksUpToDate>
  <CharactersWithSpaces>1670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 </cp:lastModifiedBy>
  <dcterms:modified xsi:type="dcterms:W3CDTF">2025-07-11T02:31:17Z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5EFEE10B837549D99BCDCF17BF1AC1AE_13</vt:lpwstr>
  </property>
  <property fmtid="{D5CDD505-2E9C-101B-9397-08002B2CF9AE}" pid="4" name="KSOTemplateDocerSaveRecord">
    <vt:lpwstr>eyJoZGlkIjoiYWQ5Yjc3M2Y1MGI4NmJmNjE5YzdjN2JiOWViMTJmYTEiLCJ1c2VySWQiOiI5MTk4OTg5NDcifQ==</vt:lpwstr>
  </property>
</Properties>
</file>